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5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8003"/>
      </w:tblGrid>
      <w:tr w:rsidR="00C547BD" w:rsidRPr="00C547BD" w:rsidTr="00C547BD">
        <w:tc>
          <w:tcPr>
            <w:tcW w:w="1897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b/>
                <w:sz w:val="24"/>
                <w:szCs w:val="24"/>
              </w:rPr>
            </w:pPr>
            <w:r w:rsidRPr="00C547BD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8003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b/>
                <w:sz w:val="24"/>
                <w:szCs w:val="24"/>
              </w:rPr>
            </w:pPr>
            <w:r w:rsidRPr="00C547BD">
              <w:rPr>
                <w:b/>
                <w:sz w:val="24"/>
                <w:szCs w:val="24"/>
              </w:rPr>
              <w:t>BCG</w:t>
            </w:r>
          </w:p>
        </w:tc>
      </w:tr>
      <w:tr w:rsidR="00C547BD" w:rsidRPr="00C547BD" w:rsidTr="00C547BD">
        <w:tc>
          <w:tcPr>
            <w:tcW w:w="1897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b/>
                <w:sz w:val="24"/>
                <w:szCs w:val="24"/>
              </w:rPr>
            </w:pPr>
            <w:r w:rsidRPr="00C547BD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8003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sz w:val="24"/>
                <w:szCs w:val="24"/>
              </w:rPr>
            </w:pPr>
            <w:r w:rsidRPr="00C547BD">
              <w:rPr>
                <w:sz w:val="24"/>
                <w:szCs w:val="24"/>
              </w:rPr>
              <w:t>Bamboo Capital Joint Stock Company</w:t>
            </w:r>
          </w:p>
        </w:tc>
      </w:tr>
      <w:tr w:rsidR="00C547BD" w:rsidRPr="00C547BD" w:rsidTr="00C547BD">
        <w:tc>
          <w:tcPr>
            <w:tcW w:w="1897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b/>
                <w:sz w:val="24"/>
                <w:szCs w:val="24"/>
              </w:rPr>
            </w:pPr>
            <w:r w:rsidRPr="00C547B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003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sz w:val="24"/>
                <w:szCs w:val="24"/>
              </w:rPr>
            </w:pPr>
            <w:r w:rsidRPr="00C547BD">
              <w:rPr>
                <w:sz w:val="24"/>
                <w:szCs w:val="24"/>
              </w:rPr>
              <w:t>01</w:t>
            </w:r>
            <w:r w:rsidRPr="00C547BD">
              <w:rPr>
                <w:sz w:val="24"/>
                <w:szCs w:val="24"/>
              </w:rPr>
              <w:t>/</w:t>
            </w:r>
            <w:r w:rsidRPr="00C547BD">
              <w:rPr>
                <w:sz w:val="24"/>
                <w:szCs w:val="24"/>
              </w:rPr>
              <w:t>06</w:t>
            </w:r>
            <w:r w:rsidRPr="00C547BD">
              <w:rPr>
                <w:sz w:val="24"/>
                <w:szCs w:val="24"/>
              </w:rPr>
              <w:t>/202</w:t>
            </w:r>
            <w:r w:rsidRPr="00C547BD">
              <w:rPr>
                <w:sz w:val="24"/>
                <w:szCs w:val="24"/>
              </w:rPr>
              <w:t>1</w:t>
            </w:r>
          </w:p>
        </w:tc>
      </w:tr>
      <w:tr w:rsidR="00C547BD" w:rsidRPr="00C547BD" w:rsidTr="00C547BD">
        <w:tc>
          <w:tcPr>
            <w:tcW w:w="1897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b/>
                <w:sz w:val="24"/>
                <w:szCs w:val="24"/>
              </w:rPr>
            </w:pPr>
            <w:r w:rsidRPr="00C547B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003" w:type="dxa"/>
          </w:tcPr>
          <w:p w:rsidR="00C547BD" w:rsidRPr="00C547BD" w:rsidRDefault="00C547BD" w:rsidP="00C547BD">
            <w:pPr>
              <w:spacing w:before="0" w:after="0" w:line="276" w:lineRule="auto"/>
              <w:rPr>
                <w:sz w:val="24"/>
                <w:szCs w:val="24"/>
              </w:rPr>
            </w:pPr>
            <w:r w:rsidRPr="00C547BD">
              <w:rPr>
                <w:sz w:val="24"/>
                <w:szCs w:val="24"/>
              </w:rPr>
              <w:t>BOD resolution on the record date to implement rights</w:t>
            </w:r>
          </w:p>
        </w:tc>
      </w:tr>
    </w:tbl>
    <w:p w:rsidR="00616DBB" w:rsidRPr="00C547BD" w:rsidRDefault="00616DBB">
      <w:pPr>
        <w:rPr>
          <w:sz w:val="24"/>
          <w:szCs w:val="24"/>
        </w:rPr>
      </w:pPr>
    </w:p>
    <w:p w:rsidR="00067047" w:rsidRPr="00C547BD" w:rsidRDefault="00067047" w:rsidP="00616DBB">
      <w:pPr>
        <w:spacing w:line="276" w:lineRule="auto"/>
        <w:rPr>
          <w:sz w:val="24"/>
          <w:szCs w:val="24"/>
        </w:rPr>
      </w:pPr>
    </w:p>
    <w:p w:rsidR="00067047" w:rsidRPr="00C547BD" w:rsidRDefault="00067047" w:rsidP="00067047">
      <w:pPr>
        <w:spacing w:line="360" w:lineRule="auto"/>
        <w:rPr>
          <w:b/>
          <w:sz w:val="24"/>
          <w:szCs w:val="24"/>
        </w:rPr>
      </w:pPr>
      <w:r w:rsidRPr="00C547BD">
        <w:rPr>
          <w:b/>
          <w:sz w:val="24"/>
          <w:szCs w:val="24"/>
        </w:rPr>
        <w:t>Content:</w:t>
      </w:r>
    </w:p>
    <w:p w:rsidR="00B22ADF" w:rsidRPr="00C547BD" w:rsidRDefault="00107008" w:rsidP="00AD3660">
      <w:pPr>
        <w:spacing w:line="360" w:lineRule="auto"/>
        <w:ind w:firstLine="720"/>
        <w:jc w:val="both"/>
        <w:rPr>
          <w:sz w:val="24"/>
          <w:szCs w:val="24"/>
        </w:rPr>
      </w:pPr>
      <w:r w:rsidRPr="00C547BD">
        <w:rPr>
          <w:sz w:val="24"/>
          <w:szCs w:val="24"/>
          <w:lang w:val="vi-VN"/>
        </w:rPr>
        <w:t>The Board resolution</w:t>
      </w:r>
      <w:r w:rsidR="00F95C25" w:rsidRPr="00C547BD">
        <w:rPr>
          <w:sz w:val="24"/>
          <w:szCs w:val="24"/>
        </w:rPr>
        <w:t xml:space="preserve"> dated</w:t>
      </w:r>
      <w:r w:rsidR="00067047" w:rsidRPr="00C547BD">
        <w:rPr>
          <w:sz w:val="24"/>
          <w:szCs w:val="24"/>
        </w:rPr>
        <w:t xml:space="preserve"> </w:t>
      </w:r>
      <w:r w:rsidR="001168BD" w:rsidRPr="00C547BD">
        <w:rPr>
          <w:sz w:val="24"/>
          <w:szCs w:val="24"/>
          <w:lang w:val="vi-VN"/>
        </w:rPr>
        <w:t xml:space="preserve">December </w:t>
      </w:r>
      <w:r w:rsidR="00C547BD" w:rsidRPr="00C547BD">
        <w:rPr>
          <w:sz w:val="24"/>
          <w:szCs w:val="24"/>
        </w:rPr>
        <w:t>31</w:t>
      </w:r>
      <w:r w:rsidR="00067047" w:rsidRPr="00C547BD">
        <w:rPr>
          <w:sz w:val="24"/>
          <w:szCs w:val="24"/>
        </w:rPr>
        <w:t xml:space="preserve">, 2020, the Board of Directors of </w:t>
      </w:r>
      <w:r w:rsidR="00C547BD" w:rsidRPr="00C547BD">
        <w:rPr>
          <w:sz w:val="24"/>
          <w:szCs w:val="24"/>
        </w:rPr>
        <w:t>Bamboo Capital Joint Stock Company</w:t>
      </w:r>
      <w:r w:rsidR="00CC5851" w:rsidRPr="00C547BD">
        <w:rPr>
          <w:sz w:val="24"/>
          <w:szCs w:val="24"/>
        </w:rPr>
        <w:t xml:space="preserve"> approved the record date to implement rights to buy treasury shares to existing shareholders as follows:</w:t>
      </w:r>
    </w:p>
    <w:p w:rsidR="00CC5851" w:rsidRPr="00C547BD" w:rsidRDefault="00CC5851" w:rsidP="00CC5851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</w:rPr>
        <w:t xml:space="preserve">Record date: January </w:t>
      </w:r>
      <w:r w:rsidR="00C547BD" w:rsidRPr="00C547BD">
        <w:rPr>
          <w:sz w:val="24"/>
          <w:szCs w:val="24"/>
        </w:rPr>
        <w:t>22</w:t>
      </w:r>
      <w:r w:rsidRPr="00C547BD">
        <w:rPr>
          <w:sz w:val="24"/>
          <w:szCs w:val="24"/>
        </w:rPr>
        <w:t>, 2021</w:t>
      </w:r>
    </w:p>
    <w:p w:rsidR="00C547BD" w:rsidRPr="00C547BD" w:rsidRDefault="00C547BD" w:rsidP="00CC5851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</w:rPr>
        <w:t>Expected issue volume: 68,002,880 shares</w:t>
      </w:r>
    </w:p>
    <w:p w:rsidR="00C547BD" w:rsidRPr="00C547BD" w:rsidRDefault="00C547BD" w:rsidP="00CC5851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</w:rPr>
        <w:t>Issue price: VND 10,000/share</w:t>
      </w:r>
    </w:p>
    <w:p w:rsidR="00C547BD" w:rsidRPr="00C547BD" w:rsidRDefault="00C547BD" w:rsidP="00C547BD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</w:rPr>
        <w:t>Exercise ratio: 2:1 (</w:t>
      </w:r>
      <w:r w:rsidRPr="00C547BD">
        <w:rPr>
          <w:bCs/>
          <w:sz w:val="24"/>
          <w:szCs w:val="24"/>
          <w:lang w:val="vi-VN"/>
        </w:rPr>
        <w:t xml:space="preserve">shareholder who owns 01 share will receive 01 right, and with every </w:t>
      </w:r>
      <w:r>
        <w:rPr>
          <w:bCs/>
          <w:sz w:val="24"/>
          <w:szCs w:val="24"/>
        </w:rPr>
        <w:t>02</w:t>
      </w:r>
      <w:r w:rsidRPr="00C547BD">
        <w:rPr>
          <w:bCs/>
          <w:sz w:val="24"/>
          <w:szCs w:val="24"/>
        </w:rPr>
        <w:t xml:space="preserve"> </w:t>
      </w:r>
      <w:r w:rsidRPr="00C547BD">
        <w:rPr>
          <w:bCs/>
          <w:sz w:val="24"/>
          <w:szCs w:val="24"/>
          <w:lang w:val="vi-VN"/>
        </w:rPr>
        <w:t>right</w:t>
      </w:r>
      <w:r w:rsidRPr="00C547BD">
        <w:rPr>
          <w:bCs/>
          <w:sz w:val="24"/>
          <w:szCs w:val="24"/>
        </w:rPr>
        <w:t>s</w:t>
      </w:r>
      <w:r w:rsidRPr="00C547BD">
        <w:rPr>
          <w:bCs/>
          <w:sz w:val="24"/>
          <w:szCs w:val="24"/>
          <w:lang w:val="vi-VN"/>
        </w:rPr>
        <w:t xml:space="preserve"> will be entitled to purchase </w:t>
      </w:r>
      <w:r>
        <w:rPr>
          <w:bCs/>
          <w:sz w:val="24"/>
          <w:szCs w:val="24"/>
        </w:rPr>
        <w:t>01</w:t>
      </w:r>
      <w:r w:rsidRPr="00C547BD">
        <w:rPr>
          <w:bCs/>
          <w:sz w:val="24"/>
          <w:szCs w:val="24"/>
        </w:rPr>
        <w:t xml:space="preserve"> </w:t>
      </w:r>
      <w:r w:rsidRPr="00C547BD">
        <w:rPr>
          <w:bCs/>
          <w:sz w:val="24"/>
          <w:szCs w:val="24"/>
          <w:lang w:val="vi-VN"/>
        </w:rPr>
        <w:t>new share</w:t>
      </w:r>
      <w:r w:rsidRPr="00C547BD">
        <w:rPr>
          <w:bCs/>
          <w:sz w:val="24"/>
          <w:szCs w:val="24"/>
        </w:rPr>
        <w:t>).</w:t>
      </w:r>
    </w:p>
    <w:p w:rsidR="00C547BD" w:rsidRPr="00C547BD" w:rsidRDefault="00C547BD" w:rsidP="00C547BD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</w:rPr>
        <w:t xml:space="preserve">Regulation on rights transfer: </w:t>
      </w:r>
      <w:bookmarkStart w:id="0" w:name="_Hlk536706760"/>
    </w:p>
    <w:p w:rsidR="00C547BD" w:rsidRPr="0062475A" w:rsidRDefault="00C547BD" w:rsidP="00C547BD">
      <w:pPr>
        <w:pStyle w:val="ListParagraph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</w:rPr>
      </w:pPr>
      <w:r w:rsidRPr="0062475A">
        <w:rPr>
          <w:sz w:val="24"/>
          <w:szCs w:val="24"/>
        </w:rPr>
        <w:t xml:space="preserve">Time for rights transference: from </w:t>
      </w:r>
      <w:r>
        <w:rPr>
          <w:sz w:val="24"/>
          <w:szCs w:val="24"/>
        </w:rPr>
        <w:t>January 2</w:t>
      </w:r>
      <w:r>
        <w:rPr>
          <w:sz w:val="24"/>
          <w:szCs w:val="24"/>
        </w:rPr>
        <w:t>9</w:t>
      </w:r>
      <w:r>
        <w:rPr>
          <w:sz w:val="24"/>
          <w:szCs w:val="24"/>
        </w:rPr>
        <w:t>, 2021</w:t>
      </w:r>
      <w:r w:rsidRPr="0062475A">
        <w:rPr>
          <w:sz w:val="24"/>
          <w:szCs w:val="24"/>
        </w:rPr>
        <w:t xml:space="preserve"> to </w:t>
      </w:r>
      <w:r>
        <w:rPr>
          <w:sz w:val="24"/>
          <w:szCs w:val="24"/>
        </w:rPr>
        <w:t>March 03</w:t>
      </w:r>
      <w:r>
        <w:rPr>
          <w:sz w:val="24"/>
          <w:szCs w:val="24"/>
        </w:rPr>
        <w:t>, 2021</w:t>
      </w:r>
    </w:p>
    <w:p w:rsidR="00C547BD" w:rsidRDefault="00C547BD" w:rsidP="00C547BD">
      <w:pPr>
        <w:pStyle w:val="ListParagraph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</w:rPr>
      </w:pPr>
      <w:r w:rsidRPr="0062475A">
        <w:rPr>
          <w:sz w:val="24"/>
          <w:szCs w:val="24"/>
        </w:rPr>
        <w:t xml:space="preserve">The rights should be transferred only once. </w:t>
      </w:r>
      <w:bookmarkStart w:id="1" w:name="_Hlk536706832"/>
      <w:bookmarkEnd w:id="0"/>
    </w:p>
    <w:p w:rsidR="00C547BD" w:rsidRPr="00C547BD" w:rsidRDefault="00C547BD" w:rsidP="00C547BD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  <w:lang w:val="nl-NL"/>
        </w:rPr>
        <w:t>Regulation on securities purchased</w:t>
      </w:r>
      <w:r w:rsidRPr="00C547BD">
        <w:rPr>
          <w:sz w:val="24"/>
          <w:szCs w:val="24"/>
        </w:rPr>
        <w:t>:</w:t>
      </w:r>
      <w:bookmarkStart w:id="2" w:name="_Hlk536706846"/>
      <w:bookmarkEnd w:id="1"/>
    </w:p>
    <w:p w:rsidR="00C547BD" w:rsidRPr="0062475A" w:rsidRDefault="00C547BD" w:rsidP="00C547BD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sz w:val="24"/>
          <w:szCs w:val="24"/>
        </w:rPr>
      </w:pPr>
      <w:r w:rsidRPr="0062475A">
        <w:rPr>
          <w:sz w:val="24"/>
          <w:szCs w:val="24"/>
        </w:rPr>
        <w:t xml:space="preserve">Time for subscription and deposit: from </w:t>
      </w:r>
      <w:r>
        <w:rPr>
          <w:sz w:val="24"/>
          <w:szCs w:val="24"/>
        </w:rPr>
        <w:t>January 2</w:t>
      </w:r>
      <w:r>
        <w:rPr>
          <w:sz w:val="24"/>
          <w:szCs w:val="24"/>
        </w:rPr>
        <w:t>9</w:t>
      </w:r>
      <w:r>
        <w:rPr>
          <w:sz w:val="24"/>
          <w:szCs w:val="24"/>
        </w:rPr>
        <w:t>, 2021</w:t>
      </w:r>
      <w:r w:rsidRPr="0062475A">
        <w:rPr>
          <w:sz w:val="24"/>
          <w:szCs w:val="24"/>
        </w:rPr>
        <w:t xml:space="preserve"> to </w:t>
      </w:r>
      <w:r>
        <w:rPr>
          <w:sz w:val="24"/>
          <w:szCs w:val="24"/>
        </w:rPr>
        <w:t>March 05</w:t>
      </w:r>
      <w:r>
        <w:rPr>
          <w:sz w:val="24"/>
          <w:szCs w:val="24"/>
        </w:rPr>
        <w:t>, 2021.</w:t>
      </w:r>
    </w:p>
    <w:p w:rsidR="00C547BD" w:rsidRDefault="00C547BD" w:rsidP="00C547BD">
      <w:pPr>
        <w:pStyle w:val="ListParagraph"/>
        <w:numPr>
          <w:ilvl w:val="0"/>
          <w:numId w:val="8"/>
        </w:numPr>
        <w:spacing w:before="0" w:after="0" w:line="360" w:lineRule="auto"/>
        <w:jc w:val="both"/>
        <w:rPr>
          <w:sz w:val="24"/>
          <w:szCs w:val="24"/>
        </w:rPr>
      </w:pPr>
      <w:r w:rsidRPr="0062475A">
        <w:rPr>
          <w:sz w:val="24"/>
          <w:szCs w:val="24"/>
        </w:rPr>
        <w:t>The new shares are freely transferable.</w:t>
      </w:r>
      <w:bookmarkEnd w:id="2"/>
    </w:p>
    <w:p w:rsidR="00C547BD" w:rsidRPr="00C547BD" w:rsidRDefault="00C547BD" w:rsidP="00C547BD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</w:rPr>
        <w:t xml:space="preserve">Place to receive </w:t>
      </w:r>
      <w:r w:rsidRPr="00C547BD">
        <w:rPr>
          <w:bCs/>
          <w:sz w:val="24"/>
          <w:szCs w:val="24"/>
        </w:rPr>
        <w:t>subscription</w:t>
      </w:r>
      <w:r w:rsidRPr="00C547BD">
        <w:rPr>
          <w:sz w:val="24"/>
          <w:szCs w:val="24"/>
        </w:rPr>
        <w:t xml:space="preserve">: </w:t>
      </w:r>
    </w:p>
    <w:p w:rsidR="00C547BD" w:rsidRPr="0062475A" w:rsidRDefault="00C547BD" w:rsidP="00C547BD">
      <w:pPr>
        <w:pStyle w:val="ListParagraph"/>
        <w:numPr>
          <w:ilvl w:val="0"/>
          <w:numId w:val="10"/>
        </w:numPr>
        <w:spacing w:before="0" w:after="0" w:line="360" w:lineRule="auto"/>
        <w:ind w:left="1440" w:hanging="270"/>
        <w:jc w:val="both"/>
        <w:rPr>
          <w:sz w:val="24"/>
          <w:szCs w:val="24"/>
        </w:rPr>
      </w:pPr>
      <w:r w:rsidRPr="0062475A">
        <w:rPr>
          <w:sz w:val="24"/>
          <w:szCs w:val="24"/>
        </w:rPr>
        <w:t>Shareholders whose shares have been deposited: at the securities firms where shares have been deposited.</w:t>
      </w:r>
    </w:p>
    <w:p w:rsidR="00C547BD" w:rsidRDefault="00C547BD" w:rsidP="00C547BD">
      <w:pPr>
        <w:pStyle w:val="ListParagraph"/>
        <w:numPr>
          <w:ilvl w:val="0"/>
          <w:numId w:val="10"/>
        </w:numPr>
        <w:spacing w:before="0" w:after="0" w:line="360" w:lineRule="auto"/>
        <w:ind w:left="1440" w:hanging="270"/>
        <w:jc w:val="both"/>
        <w:rPr>
          <w:sz w:val="24"/>
          <w:szCs w:val="24"/>
        </w:rPr>
      </w:pPr>
      <w:r w:rsidRPr="0062475A">
        <w:rPr>
          <w:sz w:val="24"/>
          <w:szCs w:val="24"/>
        </w:rPr>
        <w:t xml:space="preserve">Shareholders whose shares have not been deposited: at </w:t>
      </w:r>
      <w:r w:rsidRPr="00C547BD">
        <w:rPr>
          <w:sz w:val="24"/>
          <w:szCs w:val="24"/>
        </w:rPr>
        <w:t>Bamboo Capital Joint Stock Company</w:t>
      </w:r>
      <w:r w:rsidRPr="00FD6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(Address: </w:t>
      </w:r>
      <w:r>
        <w:rPr>
          <w:sz w:val="24"/>
          <w:szCs w:val="24"/>
        </w:rPr>
        <w:t xml:space="preserve">27C Quoc Huong, Thao </w:t>
      </w:r>
      <w:proofErr w:type="spellStart"/>
      <w:r>
        <w:rPr>
          <w:sz w:val="24"/>
          <w:szCs w:val="24"/>
        </w:rPr>
        <w:t>Dien</w:t>
      </w:r>
      <w:proofErr w:type="spellEnd"/>
      <w:r>
        <w:rPr>
          <w:sz w:val="24"/>
          <w:szCs w:val="24"/>
        </w:rPr>
        <w:t xml:space="preserve"> Ward, district 2, </w:t>
      </w:r>
      <w:proofErr w:type="spellStart"/>
      <w:r>
        <w:rPr>
          <w:sz w:val="24"/>
          <w:szCs w:val="24"/>
        </w:rPr>
        <w:t>Hochiminh</w:t>
      </w:r>
      <w:proofErr w:type="spellEnd"/>
      <w:r>
        <w:rPr>
          <w:sz w:val="24"/>
          <w:szCs w:val="24"/>
        </w:rPr>
        <w:t>).</w:t>
      </w:r>
    </w:p>
    <w:p w:rsidR="00C547BD" w:rsidRPr="00C547BD" w:rsidRDefault="00C547BD" w:rsidP="00C547BD">
      <w:pPr>
        <w:pStyle w:val="ListParagraph"/>
        <w:numPr>
          <w:ilvl w:val="0"/>
          <w:numId w:val="5"/>
        </w:numPr>
        <w:spacing w:before="0" w:after="0" w:line="360" w:lineRule="auto"/>
        <w:jc w:val="both"/>
        <w:rPr>
          <w:sz w:val="24"/>
          <w:szCs w:val="24"/>
        </w:rPr>
      </w:pPr>
      <w:r w:rsidRPr="00C547BD">
        <w:rPr>
          <w:sz w:val="24"/>
          <w:szCs w:val="24"/>
        </w:rPr>
        <w:t>Bank for blocking depository money:</w:t>
      </w:r>
    </w:p>
    <w:p w:rsidR="00C547BD" w:rsidRDefault="00C547BD" w:rsidP="00C547BD">
      <w:pPr>
        <w:pStyle w:val="ListParagraph"/>
        <w:numPr>
          <w:ilvl w:val="0"/>
          <w:numId w:val="12"/>
        </w:numPr>
        <w:spacing w:before="0" w:after="0" w:line="360" w:lineRule="auto"/>
        <w:ind w:left="1620" w:hanging="450"/>
        <w:jc w:val="both"/>
        <w:rPr>
          <w:sz w:val="24"/>
          <w:szCs w:val="24"/>
        </w:rPr>
      </w:pPr>
      <w:r w:rsidRPr="0062475A">
        <w:rPr>
          <w:sz w:val="24"/>
          <w:szCs w:val="24"/>
        </w:rPr>
        <w:t xml:space="preserve">Account holder: </w:t>
      </w:r>
      <w:r w:rsidRPr="00C547BD">
        <w:rPr>
          <w:sz w:val="24"/>
          <w:szCs w:val="24"/>
        </w:rPr>
        <w:t>Bamboo Capital Joint Stock Company</w:t>
      </w:r>
    </w:p>
    <w:p w:rsidR="00C547BD" w:rsidRDefault="00C547BD" w:rsidP="00C547BD">
      <w:pPr>
        <w:pStyle w:val="ListParagraph"/>
        <w:numPr>
          <w:ilvl w:val="0"/>
          <w:numId w:val="12"/>
        </w:numPr>
        <w:spacing w:before="0" w:after="0" w:line="360" w:lineRule="auto"/>
        <w:ind w:left="1620" w:hanging="450"/>
        <w:jc w:val="both"/>
        <w:rPr>
          <w:sz w:val="24"/>
          <w:szCs w:val="24"/>
        </w:rPr>
      </w:pPr>
      <w:r w:rsidRPr="0062475A">
        <w:rPr>
          <w:sz w:val="24"/>
          <w:szCs w:val="24"/>
        </w:rPr>
        <w:t>Account number</w:t>
      </w:r>
      <w:r>
        <w:rPr>
          <w:sz w:val="24"/>
          <w:szCs w:val="24"/>
        </w:rPr>
        <w:t>: 11315789504</w:t>
      </w:r>
    </w:p>
    <w:p w:rsidR="00C547BD" w:rsidRPr="0062475A" w:rsidRDefault="00C547BD" w:rsidP="00C547BD">
      <w:pPr>
        <w:pStyle w:val="ListParagraph"/>
        <w:numPr>
          <w:ilvl w:val="0"/>
          <w:numId w:val="12"/>
        </w:numPr>
        <w:spacing w:before="0" w:after="0" w:line="360" w:lineRule="auto"/>
        <w:ind w:left="1620" w:hanging="450"/>
        <w:jc w:val="both"/>
        <w:rPr>
          <w:sz w:val="24"/>
          <w:szCs w:val="24"/>
        </w:rPr>
      </w:pPr>
      <w:r w:rsidRPr="0062475A">
        <w:rPr>
          <w:sz w:val="24"/>
          <w:szCs w:val="24"/>
        </w:rPr>
        <w:t>Ban</w:t>
      </w:r>
      <w:r>
        <w:rPr>
          <w:sz w:val="24"/>
          <w:szCs w:val="24"/>
        </w:rPr>
        <w:t xml:space="preserve">k: </w:t>
      </w:r>
      <w:proofErr w:type="spellStart"/>
      <w:r>
        <w:rPr>
          <w:sz w:val="24"/>
          <w:szCs w:val="24"/>
        </w:rPr>
        <w:t>TPBank</w:t>
      </w:r>
      <w:proofErr w:type="spellEnd"/>
      <w:r>
        <w:rPr>
          <w:sz w:val="24"/>
          <w:szCs w:val="24"/>
        </w:rPr>
        <w:t xml:space="preserve"> – Ben Thanh Branch.</w:t>
      </w:r>
    </w:p>
    <w:p w:rsidR="00CC5851" w:rsidRPr="00C547BD" w:rsidRDefault="00CC5851" w:rsidP="00C547BD">
      <w:pPr>
        <w:spacing w:line="360" w:lineRule="auto"/>
        <w:jc w:val="both"/>
        <w:rPr>
          <w:sz w:val="24"/>
          <w:szCs w:val="24"/>
        </w:rPr>
      </w:pPr>
      <w:bookmarkStart w:id="3" w:name="_GoBack"/>
      <w:bookmarkEnd w:id="3"/>
    </w:p>
    <w:p w:rsidR="00CC5851" w:rsidRPr="00C547BD" w:rsidRDefault="00CC5851" w:rsidP="00CC5851">
      <w:pPr>
        <w:spacing w:line="360" w:lineRule="auto"/>
        <w:ind w:left="1080"/>
        <w:jc w:val="both"/>
        <w:rPr>
          <w:sz w:val="24"/>
          <w:szCs w:val="24"/>
        </w:rPr>
      </w:pPr>
    </w:p>
    <w:sectPr w:rsidR="00CC5851" w:rsidRPr="00C547BD" w:rsidSect="0013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E54"/>
    <w:multiLevelType w:val="hybridMultilevel"/>
    <w:tmpl w:val="32FA13C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0CCA4B6B"/>
    <w:multiLevelType w:val="hybridMultilevel"/>
    <w:tmpl w:val="C0ECAD94"/>
    <w:lvl w:ilvl="0" w:tplc="E4204F4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E329C5"/>
    <w:multiLevelType w:val="hybridMultilevel"/>
    <w:tmpl w:val="5ED224C6"/>
    <w:lvl w:ilvl="0" w:tplc="3B76A94E">
      <w:start w:val="33"/>
      <w:numFmt w:val="bullet"/>
      <w:lvlText w:val="-"/>
      <w:lvlJc w:val="left"/>
      <w:pPr>
        <w:ind w:left="31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 w15:restartNumberingAfterBreak="0">
    <w:nsid w:val="35FD69B8"/>
    <w:multiLevelType w:val="hybridMultilevel"/>
    <w:tmpl w:val="38547F9E"/>
    <w:lvl w:ilvl="0" w:tplc="2304A5F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62FC0"/>
    <w:multiLevelType w:val="hybridMultilevel"/>
    <w:tmpl w:val="13422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674A6F"/>
    <w:multiLevelType w:val="hybridMultilevel"/>
    <w:tmpl w:val="71B48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4E0E59"/>
    <w:multiLevelType w:val="hybridMultilevel"/>
    <w:tmpl w:val="5352F3A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C616E98"/>
    <w:multiLevelType w:val="hybridMultilevel"/>
    <w:tmpl w:val="DE842922"/>
    <w:lvl w:ilvl="0" w:tplc="403CC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66BE"/>
    <w:multiLevelType w:val="hybridMultilevel"/>
    <w:tmpl w:val="86C0EAA6"/>
    <w:lvl w:ilvl="0" w:tplc="859891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E19F0"/>
    <w:multiLevelType w:val="hybridMultilevel"/>
    <w:tmpl w:val="9C4E06F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0" w15:restartNumberingAfterBreak="0">
    <w:nsid w:val="6BCF3903"/>
    <w:multiLevelType w:val="hybridMultilevel"/>
    <w:tmpl w:val="C71275D6"/>
    <w:lvl w:ilvl="0" w:tplc="30C0C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C6915"/>
    <w:multiLevelType w:val="hybridMultilevel"/>
    <w:tmpl w:val="2D22FA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47"/>
    <w:rsid w:val="00001876"/>
    <w:rsid w:val="00067047"/>
    <w:rsid w:val="000C482D"/>
    <w:rsid w:val="000D195B"/>
    <w:rsid w:val="00107008"/>
    <w:rsid w:val="001168BD"/>
    <w:rsid w:val="0012763E"/>
    <w:rsid w:val="001319B5"/>
    <w:rsid w:val="00151BBC"/>
    <w:rsid w:val="00184C9F"/>
    <w:rsid w:val="00296BA1"/>
    <w:rsid w:val="002B14E4"/>
    <w:rsid w:val="003314B5"/>
    <w:rsid w:val="003A2F06"/>
    <w:rsid w:val="003B142D"/>
    <w:rsid w:val="003E2E4E"/>
    <w:rsid w:val="005A4AF1"/>
    <w:rsid w:val="00610BA0"/>
    <w:rsid w:val="00616DBB"/>
    <w:rsid w:val="00622925"/>
    <w:rsid w:val="00623967"/>
    <w:rsid w:val="006306A4"/>
    <w:rsid w:val="00676EAF"/>
    <w:rsid w:val="00712466"/>
    <w:rsid w:val="00756B25"/>
    <w:rsid w:val="007E55F8"/>
    <w:rsid w:val="007F47EA"/>
    <w:rsid w:val="008527C1"/>
    <w:rsid w:val="0088170F"/>
    <w:rsid w:val="008A1EEC"/>
    <w:rsid w:val="009D4944"/>
    <w:rsid w:val="00AD0AD2"/>
    <w:rsid w:val="00AD3660"/>
    <w:rsid w:val="00AE0468"/>
    <w:rsid w:val="00B676C4"/>
    <w:rsid w:val="00B80753"/>
    <w:rsid w:val="00C547BD"/>
    <w:rsid w:val="00CC5851"/>
    <w:rsid w:val="00F66235"/>
    <w:rsid w:val="00F95C25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2CB9"/>
  <w15:docId w15:val="{B1C76958-420D-451E-B77F-4A41DFBE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047"/>
    <w:pPr>
      <w:spacing w:before="120" w:after="12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47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ngacm</dc:creator>
  <cp:lastModifiedBy>Van Thi Phuong Vy</cp:lastModifiedBy>
  <cp:revision>3</cp:revision>
  <dcterms:created xsi:type="dcterms:W3CDTF">2021-01-06T08:37:00Z</dcterms:created>
  <dcterms:modified xsi:type="dcterms:W3CDTF">2021-01-06T08:44:00Z</dcterms:modified>
</cp:coreProperties>
</file>